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665905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b339010-d31c-4fe5-b737-de4418db5183" w:id="1"/>
      <w:r>
        <w:rPr>
          <w:rFonts w:ascii="Times New Roman" w:hAnsi="Times New Roman"/>
          <w:b/>
          <w:i w:val="false"/>
          <w:color w:val="000000"/>
          <w:sz w:val="28"/>
        </w:rPr>
        <w:t>ДЕПАРТАМЕНТ ОБРАЗОВАНИЯ И НАУКИ КРАСНОДАРСКОГО КРАЯ</w:t>
      </w:r>
      <w:bookmarkEnd w:id="1"/>
      <w:r>
        <w:rPr>
          <w:sz w:val="28"/>
        </w:rPr>
        <w:br/>
      </w:r>
      <w:r>
        <w:rPr>
          <w:sz w:val="28"/>
        </w:rPr>
        <w:br/>
      </w:r>
      <w:bookmarkStart w:name="cb339010-d31c-4fe5-b737-de4418db5183" w:id="2"/>
      <w:r>
        <w:rPr>
          <w:rFonts w:ascii="Times New Roman" w:hAnsi="Times New Roman"/>
          <w:b/>
          <w:i w:val="false"/>
          <w:color w:val="000000"/>
          <w:sz w:val="28"/>
        </w:rPr>
        <w:t xml:space="preserve"> АДМИНИСТРАЦИЯ МУНИЦИПАЛЬНОГО ОБРАЗОВАНИЯ ГОРОД-КУРОРТ АНАПА</w:t>
      </w:r>
      <w:bookmarkEnd w:id="2"/>
      <w:r>
        <w:rPr>
          <w:sz w:val="28"/>
        </w:rPr>
        <w:br/>
      </w:r>
      <w:r>
        <w:rPr>
          <w:sz w:val="28"/>
        </w:rPr>
        <w:br/>
      </w:r>
      <w:bookmarkStart w:name="cb339010-d31c-4fe5-b737-de4418db5183" w:id="3"/>
      <w:r>
        <w:rPr>
          <w:rFonts w:ascii="Times New Roman" w:hAnsi="Times New Roman"/>
          <w:b/>
          <w:i w:val="false"/>
          <w:color w:val="000000"/>
          <w:sz w:val="28"/>
        </w:rPr>
        <w:t xml:space="preserve"> УПРАВЛЕНИЕ ОБРАЗОВАНИЯ МУНИЦИПАЛЬНОГО ОБРАЗОВАНИЯ ГОРОД-КУРОРТ АНАПА</w:t>
      </w:r>
      <w:bookmarkEnd w:id="3"/>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b53f0ed-c20d-4a20-b9d2-7132402a1840" w:id="4"/>
      <w:r>
        <w:rPr>
          <w:rFonts w:ascii="Times New Roman" w:hAnsi="Times New Roman"/>
          <w:b/>
          <w:i w:val="false"/>
          <w:color w:val="000000"/>
          <w:sz w:val="28"/>
        </w:rPr>
        <w:t>МУНИЦИПАЛЬНОЕ БЮДЖЕТНОЕ ОБЩЕОБРАЗОВАТЕЛЬНОЕ УЧРЕЖДЕНИЕ</w:t>
      </w:r>
      <w:bookmarkEnd w:id="4"/>
      <w:r>
        <w:rPr>
          <w:sz w:val="28"/>
        </w:rPr>
        <w:br/>
      </w:r>
      <w:r>
        <w:rPr>
          <w:sz w:val="28"/>
        </w:rPr>
        <w:br/>
      </w:r>
      <w:bookmarkStart w:name="3b53f0ed-c20d-4a20-b9d2-7132402a1840" w:id="5"/>
      <w:r>
        <w:rPr>
          <w:rFonts w:ascii="Times New Roman" w:hAnsi="Times New Roman"/>
          <w:b/>
          <w:i w:val="false"/>
          <w:color w:val="000000"/>
          <w:sz w:val="28"/>
        </w:rPr>
        <w:t xml:space="preserve"> СРЕДНЯЯ ОБЩЕОБРАЗОВАТЕЛЬНАЯ ШКОЛА №9</w:t>
      </w:r>
      <w:bookmarkEnd w:id="5"/>
      <w:r>
        <w:rPr>
          <w:sz w:val="28"/>
        </w:rPr>
        <w:br/>
      </w:r>
      <w:r>
        <w:rPr>
          <w:sz w:val="28"/>
        </w:rPr>
        <w:br/>
      </w:r>
      <w:bookmarkStart w:name="3b53f0ed-c20d-4a20-b9d2-7132402a1840" w:id="6"/>
      <w:r>
        <w:rPr>
          <w:rFonts w:ascii="Times New Roman" w:hAnsi="Times New Roman"/>
          <w:b/>
          <w:i w:val="false"/>
          <w:color w:val="000000"/>
          <w:sz w:val="28"/>
        </w:rPr>
        <w:t xml:space="preserve"> МУНИЦИПАЛЬНОГО ОБРАЗОВАНИЯ ГОРОД-КУРОРТ АНАПА</w:t>
      </w:r>
      <w:bookmarkEnd w:id="6"/>
      <w:r>
        <w:rPr>
          <w:sz w:val="28"/>
        </w:rPr>
        <w:br/>
      </w:r>
      <w:r>
        <w:rPr>
          <w:sz w:val="28"/>
        </w:rPr>
        <w:br/>
      </w:r>
      <w:bookmarkStart w:name="3b53f0ed-c20d-4a20-b9d2-7132402a1840" w:id="7"/>
      <w:r>
        <w:rPr>
          <w:rFonts w:ascii="Times New Roman" w:hAnsi="Times New Roman"/>
          <w:b/>
          <w:i w:val="false"/>
          <w:color w:val="000000"/>
          <w:sz w:val="28"/>
        </w:rPr>
        <w:t xml:space="preserve"> ИМЕНИ ГЕРОЯ СОВЕТСКОГО СОЮЗА ЛОМАКИНА АЛЕКСЕЯ ЯКОВЛЕВИЧА</w:t>
      </w:r>
      <w:bookmarkEnd w:id="7"/>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СОШ №9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Руоводитель МО учителей математики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Штаа Н.Д.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Хохлачева М.Н.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Шейко Т.В.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№422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сентября</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2243016)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00381cc-dd6e-48b1-8d40-3a07eef759ff" w:id="8"/>
      <w:r>
        <w:rPr>
          <w:rFonts w:ascii="Times New Roman" w:hAnsi="Times New Roman"/>
          <w:b/>
          <w:i w:val="false"/>
          <w:color w:val="000000"/>
          <w:sz w:val="28"/>
        </w:rPr>
        <w:t>п. Виногралный</w:t>
      </w:r>
      <w:bookmarkEnd w:id="8"/>
      <w:r>
        <w:rPr>
          <w:rFonts w:ascii="Times New Roman" w:hAnsi="Times New Roman"/>
          <w:b/>
          <w:i w:val="false"/>
          <w:color w:val="000000"/>
          <w:sz w:val="28"/>
        </w:rPr>
        <w:t xml:space="preserve">‌ </w:t>
      </w:r>
      <w:bookmarkStart w:name="10593221-ff68-4b8d-87f6-6d526c3afc0d" w:id="9"/>
      <w:r>
        <w:rPr>
          <w:rFonts w:ascii="Times New Roman" w:hAnsi="Times New Roman"/>
          <w:b/>
          <w:i w:val="false"/>
          <w:color w:val="000000"/>
          <w:sz w:val="28"/>
        </w:rPr>
        <w:t>2023</w:t>
      </w:r>
      <w:bookmarkEnd w:id="9"/>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6659054" w:id="10"/>
    <w:p>
      <w:pPr>
        <w:sectPr>
          <w:pgSz w:w="11906" w:h="16383" w:orient="portrait"/>
        </w:sectPr>
      </w:pPr>
    </w:p>
    <w:bookmarkEnd w:id="10"/>
    <w:bookmarkEnd w:id="0"/>
    <w:bookmarkStart w:name="block-16659055" w:id="11"/>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r>
        <w:rPr>
          <w:rFonts w:ascii="Times New Roman" w:hAnsi="Times New Roman"/>
          <w:b w:val="false"/>
          <w:i w:val="false"/>
          <w:color w:val="000000"/>
          <w:sz w:val="28"/>
        </w:rPr>
        <w:t>‌</w:t>
      </w:r>
      <w:bookmarkStart w:name="04eb6aa7-7a2b-4c78-a285-c233698ad3f6" w:id="12"/>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6659055" w:id="13"/>
    <w:p>
      <w:pPr>
        <w:sectPr>
          <w:pgSz w:w="11906" w:h="16383" w:orient="portrait"/>
        </w:sectPr>
      </w:pPr>
    </w:p>
    <w:bookmarkEnd w:id="13"/>
    <w:bookmarkEnd w:id="11"/>
    <w:bookmarkStart w:name="block-16659056" w:id="14"/>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16659056" w:id="15"/>
    <w:p>
      <w:pPr>
        <w:sectPr>
          <w:pgSz w:w="11906" w:h="16383" w:orient="portrait"/>
        </w:sectPr>
      </w:pPr>
    </w:p>
    <w:bookmarkEnd w:id="15"/>
    <w:bookmarkEnd w:id="14"/>
    <w:bookmarkStart w:name="block-16659059" w:id="16"/>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16659059" w:id="17"/>
    <w:p>
      <w:pPr>
        <w:sectPr>
          <w:pgSz w:w="11906" w:h="16383" w:orient="portrait"/>
        </w:sectPr>
      </w:pPr>
    </w:p>
    <w:bookmarkEnd w:id="17"/>
    <w:bookmarkEnd w:id="16"/>
    <w:bookmarkStart w:name="block-1665905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36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16659057" w:id="19"/>
    <w:p>
      <w:pPr>
        <w:sectPr>
          <w:pgSz w:w="16383" w:h="11906" w:orient="landscape"/>
        </w:sectPr>
      </w:pPr>
    </w:p>
    <w:bookmarkEnd w:id="19"/>
    <w:bookmarkEnd w:id="18"/>
    <w:bookmarkStart w:name="block-1665905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1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2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5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0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6659058" w:id="21"/>
    <w:p>
      <w:pPr>
        <w:sectPr>
          <w:pgSz w:w="16383" w:h="11906" w:orient="landscape"/>
        </w:sectPr>
      </w:pPr>
    </w:p>
    <w:bookmarkEnd w:id="21"/>
    <w:bookmarkEnd w:id="20"/>
    <w:bookmarkStart w:name="block-16659060"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6659060"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